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A1E25" w14:textId="77777777" w:rsidR="00361056" w:rsidRDefault="00361056">
      <w:pPr>
        <w:widowControl/>
        <w:spacing w:after="280"/>
        <w:jc w:val="center"/>
        <w:rPr>
          <w:b/>
          <w:color w:val="000000"/>
        </w:rPr>
      </w:pPr>
    </w:p>
    <w:p w14:paraId="634366A1" w14:textId="6994CD96" w:rsidR="00361056" w:rsidRDefault="00AF1F91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Progetto “</w:t>
      </w:r>
      <w:r w:rsidR="005E4130">
        <w:rPr>
          <w:b/>
          <w:color w:val="000000"/>
        </w:rPr>
        <w:t>Open School</w:t>
      </w:r>
      <w:r>
        <w:rPr>
          <w:b/>
          <w:color w:val="000000"/>
        </w:rPr>
        <w:t>”</w:t>
      </w:r>
    </w:p>
    <w:p w14:paraId="415BCA7F" w14:textId="57E5EEA7" w:rsidR="00361056" w:rsidRDefault="005E4130">
      <w:pPr>
        <w:widowControl/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 xml:space="preserve">Il progetto “Open School”, </w:t>
      </w:r>
      <w:r>
        <w:t xml:space="preserve">AVVISO PUBBLICO 19146 del 06/07/2020 PER IL SUPPORTO A STUDENTESSE E STUDENTI DELLE SCUOLE SECONDARIE DI PRIMO E DI SECONDO GRADO PER LIBRI DI TESTO E KIT, è finalizzato a consentire alle istituzioni scolastiche di acquistare supporti, libri e kit didattici, anche da concedere in comodato d’uso, a favore di studentesse e studenti in difficoltà </w:t>
      </w:r>
      <w:r w:rsidR="006B26D0">
        <w:t xml:space="preserve">economiche </w:t>
      </w:r>
      <w:r>
        <w:t>garantendo pari opportunità e diritto allo studio</w:t>
      </w:r>
      <w:r>
        <w:rPr>
          <w:color w:val="000000"/>
        </w:rPr>
        <w:t>.</w:t>
      </w:r>
    </w:p>
    <w:p w14:paraId="79744E03" w14:textId="42BB5347" w:rsidR="00361056" w:rsidRDefault="005E4130">
      <w:pPr>
        <w:widowControl/>
        <w:spacing w:before="280" w:after="280" w:line="360" w:lineRule="auto"/>
        <w:jc w:val="both"/>
        <w:rPr>
          <w:color w:val="000000"/>
        </w:rPr>
      </w:pPr>
      <w:r>
        <w:t>L’Istituzione Scolastica individuerà studentesse e studenti in difficoltà cui assegnare libri di testo e altri sussidi didattici acquistati grazie alle risorse messe a disposizione fra quelli che non godono di analoghe forme di sostegno e le cui famiglie possano documentare situazioni di disagio economico, anche a causa degli effetti connessi alla diffusione del COVID-19.</w:t>
      </w:r>
    </w:p>
    <w:p w14:paraId="5AAEEB83" w14:textId="1936CE39" w:rsidR="00361056" w:rsidRDefault="005E4130" w:rsidP="00AF1F91">
      <w:pPr>
        <w:widowControl/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Il presente regolamento ha lo scopo di esplicitare e formalizzare le procedure di gestione del progetto “Open School”, di individuare i beneficiari e di determinare le modalità di accesso ed erogazione dei fondi.</w:t>
      </w:r>
    </w:p>
    <w:p w14:paraId="038DDABC" w14:textId="77777777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Art.1</w:t>
      </w:r>
    </w:p>
    <w:p w14:paraId="740CFF1D" w14:textId="77777777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Beneficiari</w:t>
      </w:r>
    </w:p>
    <w:p w14:paraId="7873B0A2" w14:textId="67D86FE3" w:rsidR="00361056" w:rsidRPr="00AF1F91" w:rsidRDefault="005E4130" w:rsidP="009921D6">
      <w:pPr>
        <w:widowControl/>
        <w:spacing w:before="280" w:after="280" w:line="360" w:lineRule="auto"/>
        <w:jc w:val="both"/>
      </w:pPr>
      <w:r w:rsidRPr="00AF1F91">
        <w:t xml:space="preserve">Possono </w:t>
      </w:r>
      <w:r w:rsidR="009921D6">
        <w:t>fare richiesta</w:t>
      </w:r>
      <w:r w:rsidRPr="00AF1F91">
        <w:t xml:space="preserve"> </w:t>
      </w:r>
      <w:r w:rsidR="009921D6">
        <w:t>dei benefici de</w:t>
      </w:r>
      <w:r w:rsidRPr="00AF1F91">
        <w:t xml:space="preserve">l progetto </w:t>
      </w:r>
      <w:r w:rsidR="00AF1F91" w:rsidRPr="00AF1F91">
        <w:t>OPEN SCHOOL</w:t>
      </w:r>
      <w:r w:rsidRPr="00AF1F91">
        <w:t xml:space="preserve"> gli studenti provenienti da un nucleo familiare con ISEE inferiore a 15.000€ (quindicimila euro).</w:t>
      </w:r>
      <w:r w:rsidR="009921D6">
        <w:t xml:space="preserve"> G</w:t>
      </w:r>
      <w:r w:rsidRPr="00AF1F91">
        <w:t xml:space="preserve">li alunni che chiedono l'accesso al fondo devono </w:t>
      </w:r>
      <w:r w:rsidR="009921D6">
        <w:t>possedere</w:t>
      </w:r>
      <w:r w:rsidRPr="00AF1F91">
        <w:t xml:space="preserve"> i seguenti requisiti:</w:t>
      </w:r>
    </w:p>
    <w:p w14:paraId="3BB1E837" w14:textId="3F21C655" w:rsidR="009921D6" w:rsidRDefault="009921D6" w:rsidP="00D102C6">
      <w:pPr>
        <w:widowControl/>
        <w:numPr>
          <w:ilvl w:val="0"/>
          <w:numId w:val="1"/>
        </w:numPr>
        <w:ind w:left="714" w:hanging="357"/>
        <w:jc w:val="both"/>
      </w:pPr>
      <w:r>
        <w:t>N</w:t>
      </w:r>
      <w:r w:rsidRPr="00AF1F91">
        <w:t>ucleo familiare con ISEE inferiore a 15.000€ (quindicimila euro)</w:t>
      </w:r>
      <w:r>
        <w:t>;</w:t>
      </w:r>
    </w:p>
    <w:p w14:paraId="094C21DA" w14:textId="11172C4E" w:rsidR="00361056" w:rsidRDefault="005E4130" w:rsidP="009921D6">
      <w:pPr>
        <w:widowControl/>
        <w:numPr>
          <w:ilvl w:val="0"/>
          <w:numId w:val="1"/>
        </w:numPr>
        <w:ind w:left="714" w:hanging="357"/>
        <w:jc w:val="both"/>
      </w:pPr>
      <w:r w:rsidRPr="009921D6">
        <w:rPr>
          <w:color w:val="000000"/>
        </w:rPr>
        <w:t>Regolarità di frequenza</w:t>
      </w:r>
      <w:r w:rsidR="009921D6" w:rsidRPr="009921D6">
        <w:rPr>
          <w:color w:val="000000"/>
        </w:rPr>
        <w:t xml:space="preserve"> dei corsi scolastici</w:t>
      </w:r>
      <w:r w:rsidR="009E75E7">
        <w:rPr>
          <w:color w:val="000000"/>
        </w:rPr>
        <w:t xml:space="preserve"> (intesa come numero di assenze ingiustificate inferiore al 10% delle ore di lezione effettivamente erogate </w:t>
      </w:r>
      <w:r w:rsidR="00D102C6">
        <w:rPr>
          <w:color w:val="000000"/>
        </w:rPr>
        <w:t>n</w:t>
      </w:r>
      <w:r w:rsidR="009E75E7">
        <w:rPr>
          <w:color w:val="000000"/>
        </w:rPr>
        <w:t>ell’anno scolastico</w:t>
      </w:r>
      <w:r w:rsidR="00D102C6">
        <w:rPr>
          <w:color w:val="000000"/>
        </w:rPr>
        <w:t xml:space="preserve"> in corso)</w:t>
      </w:r>
      <w:r w:rsidRPr="009921D6">
        <w:rPr>
          <w:color w:val="000000"/>
        </w:rPr>
        <w:t>;</w:t>
      </w:r>
    </w:p>
    <w:p w14:paraId="58EC0DCF" w14:textId="048BD741" w:rsidR="00361056" w:rsidRDefault="005E4130" w:rsidP="009921D6">
      <w:pPr>
        <w:widowControl/>
        <w:numPr>
          <w:ilvl w:val="0"/>
          <w:numId w:val="1"/>
        </w:numPr>
        <w:jc w:val="both"/>
      </w:pPr>
      <w:r>
        <w:rPr>
          <w:color w:val="000000"/>
        </w:rPr>
        <w:t xml:space="preserve">Rispetto del </w:t>
      </w:r>
      <w:r w:rsidR="009921D6">
        <w:rPr>
          <w:color w:val="000000"/>
        </w:rPr>
        <w:t xml:space="preserve">Regolamento </w:t>
      </w:r>
      <w:r>
        <w:rPr>
          <w:color w:val="000000"/>
        </w:rPr>
        <w:t>d'Istituto</w:t>
      </w:r>
      <w:r w:rsidR="00D102C6">
        <w:rPr>
          <w:color w:val="000000"/>
        </w:rPr>
        <w:t xml:space="preserve"> (l’alunno non è stato sottoposto a sanzioni disciplinari gravi quali giorni di sospensione o “rapporti” per motivi legati al comportamento scolastico)</w:t>
      </w:r>
      <w:r w:rsidR="009921D6" w:rsidRPr="009921D6">
        <w:rPr>
          <w:color w:val="000000"/>
        </w:rPr>
        <w:t>.</w:t>
      </w:r>
      <w:r w:rsidRPr="009921D6">
        <w:rPr>
          <w:color w:val="000000"/>
        </w:rPr>
        <w:t xml:space="preserve"> </w:t>
      </w:r>
    </w:p>
    <w:p w14:paraId="72DA957D" w14:textId="07E37237" w:rsidR="00361056" w:rsidRPr="00AF1F91" w:rsidRDefault="005E4130" w:rsidP="00AF1F91">
      <w:pPr>
        <w:widowControl/>
        <w:spacing w:before="280" w:after="280" w:line="360" w:lineRule="auto"/>
        <w:jc w:val="both"/>
      </w:pPr>
      <w:r w:rsidRPr="00AF1F91">
        <w:lastRenderedPageBreak/>
        <w:t xml:space="preserve">Il possesso dei requisiti ai punti n. </w:t>
      </w:r>
      <w:r w:rsidR="009921D6">
        <w:t>2</w:t>
      </w:r>
      <w:r w:rsidRPr="00AF1F91">
        <w:t xml:space="preserve"> e </w:t>
      </w:r>
      <w:r w:rsidR="009921D6">
        <w:t>3</w:t>
      </w:r>
      <w:r w:rsidRPr="00AF1F91">
        <w:t xml:space="preserve"> dovr</w:t>
      </w:r>
      <w:r w:rsidR="009921D6">
        <w:t>à</w:t>
      </w:r>
      <w:r w:rsidRPr="00AF1F91">
        <w:t xml:space="preserve"> essere</w:t>
      </w:r>
      <w:r w:rsidR="00B8397E">
        <w:t xml:space="preserve"> attestato, successivamente alla presentazione della domanda,</w:t>
      </w:r>
      <w:r w:rsidRPr="00AF1F91">
        <w:t xml:space="preserve"> </w:t>
      </w:r>
      <w:r w:rsidR="009921D6">
        <w:t xml:space="preserve">dal </w:t>
      </w:r>
      <w:r w:rsidRPr="00AF1F91">
        <w:t>coordinatore d</w:t>
      </w:r>
      <w:r w:rsidR="009921D6">
        <w:t xml:space="preserve">ella Classe di </w:t>
      </w:r>
      <w:r w:rsidR="00B8397E">
        <w:t xml:space="preserve">attuale </w:t>
      </w:r>
      <w:r w:rsidR="009921D6">
        <w:t>appartenenza dello studente</w:t>
      </w:r>
      <w:r w:rsidR="00B8397E">
        <w:t>.</w:t>
      </w:r>
    </w:p>
    <w:p w14:paraId="61D13E71" w14:textId="04C66CA9" w:rsidR="00361056" w:rsidRPr="00AF1F91" w:rsidRDefault="005E4130" w:rsidP="00AF1F91">
      <w:pPr>
        <w:widowControl/>
        <w:spacing w:before="280" w:after="280" w:line="360" w:lineRule="auto"/>
        <w:jc w:val="both"/>
      </w:pPr>
      <w:r w:rsidRPr="00AF1F91">
        <w:t xml:space="preserve">Quanto previsto verrà analizzato della commissione di cui all'art. 4 nel totale rispetto della legge sulla </w:t>
      </w:r>
      <w:r w:rsidR="00B8397E">
        <w:t xml:space="preserve">tutela dei dati personali </w:t>
      </w:r>
      <w:r w:rsidRPr="00AF1F91">
        <w:t xml:space="preserve">secondo quanto previsto dal </w:t>
      </w:r>
      <w:r w:rsidR="00B8397E">
        <w:t xml:space="preserve">regolamento europeo </w:t>
      </w:r>
      <w:r w:rsidR="00B8397E" w:rsidRPr="00B8397E">
        <w:t>2016/679 (GDPR)</w:t>
      </w:r>
      <w:r w:rsidRPr="00AF1F91">
        <w:t>.</w:t>
      </w:r>
    </w:p>
    <w:p w14:paraId="6CD9DA50" w14:textId="77777777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Art.2</w:t>
      </w:r>
    </w:p>
    <w:p w14:paraId="7C992B71" w14:textId="28FD88B8" w:rsidR="00361056" w:rsidRPr="00B8397E" w:rsidRDefault="00B8397E">
      <w:pPr>
        <w:widowControl/>
        <w:spacing w:before="280" w:after="280"/>
        <w:jc w:val="center"/>
        <w:rPr>
          <w:b/>
          <w:bCs/>
          <w:color w:val="000000"/>
        </w:rPr>
      </w:pPr>
      <w:r w:rsidRPr="00B8397E">
        <w:rPr>
          <w:b/>
          <w:bCs/>
          <w:color w:val="000000"/>
        </w:rPr>
        <w:t>Finalità</w:t>
      </w:r>
    </w:p>
    <w:p w14:paraId="1B247BF9" w14:textId="5B0C4288" w:rsidR="00361056" w:rsidRDefault="005E4130">
      <w:pPr>
        <w:widowControl/>
        <w:spacing w:before="280" w:after="280" w:line="360" w:lineRule="auto"/>
        <w:jc w:val="both"/>
        <w:rPr>
          <w:color w:val="000000"/>
        </w:rPr>
      </w:pPr>
      <w:r>
        <w:t xml:space="preserve">Gli interventi sono destinati </w:t>
      </w:r>
      <w:r w:rsidR="00B8397E">
        <w:t xml:space="preserve">a mettere a disposizione delle famiglie degli studenti che ne facciano richiesta e ne abbiano titolo </w:t>
      </w:r>
      <w:r>
        <w:t>libri</w:t>
      </w:r>
      <w:r w:rsidR="00B8397E">
        <w:t xml:space="preserve">, </w:t>
      </w:r>
      <w:r>
        <w:t xml:space="preserve">kit didattici </w:t>
      </w:r>
      <w:r w:rsidR="00B8397E">
        <w:t xml:space="preserve">e dispositivi </w:t>
      </w:r>
      <w:r>
        <w:t>da concedere in comodato d’uso. A titolo esemplificativo e non esaustivo</w:t>
      </w:r>
      <w:r w:rsidR="00B8397E">
        <w:t>,</w:t>
      </w:r>
      <w:r>
        <w:t xml:space="preserve"> la proposta progettuale si sostanzia </w:t>
      </w:r>
      <w:r w:rsidR="009E75E7">
        <w:t xml:space="preserve">nel fornire </w:t>
      </w:r>
      <w:r>
        <w:t>supporti didattici</w:t>
      </w:r>
      <w:r w:rsidR="009E75E7">
        <w:t xml:space="preserve"> quali </w:t>
      </w:r>
      <w:r>
        <w:t>libri di testo, cartacei e/o digitali, vocabolari, dizionari, libri o audiolibri di narrativa consigliati dall</w:t>
      </w:r>
      <w:r w:rsidR="00B8397E">
        <w:t>’Istituto</w:t>
      </w:r>
      <w:r>
        <w:t>, anche in lingua straniera, materiali specifici finalizzati alla didattica che sostituiscono o affiancano il libro di testo per gli studenti con disturbi specifici di apprendimento (DSA) o con altri bisogni educativi speciali (BES)</w:t>
      </w:r>
      <w:r w:rsidR="009E75E7">
        <w:t>, dispositivi per la connettività e la Didattica a distanza</w:t>
      </w:r>
      <w:r>
        <w:t>.</w:t>
      </w:r>
    </w:p>
    <w:p w14:paraId="0223C34A" w14:textId="77777777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Art.3</w:t>
      </w:r>
    </w:p>
    <w:p w14:paraId="3107A302" w14:textId="77777777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 xml:space="preserve">Modalità di accesso </w:t>
      </w:r>
    </w:p>
    <w:p w14:paraId="20A45AB5" w14:textId="280A8DE6" w:rsidR="00361056" w:rsidRDefault="005E4130" w:rsidP="00AF1F91">
      <w:pPr>
        <w:widowControl/>
        <w:spacing w:before="280" w:after="280" w:line="360" w:lineRule="auto"/>
        <w:jc w:val="both"/>
      </w:pPr>
      <w:r w:rsidRPr="00AF1F91">
        <w:t>Le famiglie degli studenti potranno presentare domanda di partecipazione entro e non oltre la data de</w:t>
      </w:r>
      <w:r w:rsidR="00AF1F91" w:rsidRPr="00AF1F91">
        <w:t>l 10 ottobre 2020</w:t>
      </w:r>
      <w:r w:rsidRPr="00AF1F91">
        <w:t xml:space="preserve"> compilando l’apposito modello </w:t>
      </w:r>
      <w:r w:rsidR="009E75E7">
        <w:t>destinato alla pubblicazione sul sito web dell’Istituto</w:t>
      </w:r>
      <w:r w:rsidR="006B26D0">
        <w:t xml:space="preserve"> oppure utilizzando il corrispondente modulo cartaceo disponibile presso il centralino</w:t>
      </w:r>
      <w:r w:rsidR="009E75E7">
        <w:t>.</w:t>
      </w:r>
    </w:p>
    <w:p w14:paraId="1CD513E8" w14:textId="4B442EDE" w:rsidR="00D102C6" w:rsidRPr="00AF1F91" w:rsidRDefault="00D102C6" w:rsidP="00AF1F91">
      <w:pPr>
        <w:widowControl/>
        <w:spacing w:before="280" w:after="280" w:line="360" w:lineRule="auto"/>
        <w:jc w:val="both"/>
      </w:pPr>
      <w:r>
        <w:t xml:space="preserve">Il beneficio per ogni richiedente sarà </w:t>
      </w:r>
      <w:r w:rsidR="00586DE0">
        <w:t xml:space="preserve">contenuto in un corrispondente valore massimo complessivo (con riferimento ai costi di acquisizione) di 1.000,00 (mille) </w:t>
      </w:r>
      <w:proofErr w:type="gramStart"/>
      <w:r w:rsidR="00586DE0">
        <w:t>Euro</w:t>
      </w:r>
      <w:proofErr w:type="gramEnd"/>
      <w:r w:rsidR="00586DE0">
        <w:t>. La Commissione di valutazione si riserva di abbassare tale massimale in presenza di un numero eccessivo di aventi diritto.</w:t>
      </w:r>
    </w:p>
    <w:p w14:paraId="033E8D5D" w14:textId="0FC3823A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Art.4</w:t>
      </w:r>
    </w:p>
    <w:p w14:paraId="11C1D55F" w14:textId="41B69AC7" w:rsidR="00361056" w:rsidRDefault="005E4130">
      <w:pPr>
        <w:widowControl/>
        <w:spacing w:before="280" w:after="280"/>
        <w:jc w:val="center"/>
        <w:rPr>
          <w:color w:val="000000"/>
        </w:rPr>
      </w:pPr>
      <w:r>
        <w:rPr>
          <w:b/>
          <w:color w:val="000000"/>
        </w:rPr>
        <w:t>Commissione</w:t>
      </w:r>
      <w:r w:rsidR="00D102C6">
        <w:rPr>
          <w:b/>
          <w:color w:val="000000"/>
        </w:rPr>
        <w:t xml:space="preserve"> di Valutazione</w:t>
      </w:r>
    </w:p>
    <w:p w14:paraId="542353E9" w14:textId="77777777" w:rsidR="00361056" w:rsidRPr="00AF1F91" w:rsidRDefault="005E4130" w:rsidP="00AF1F91">
      <w:pPr>
        <w:widowControl/>
        <w:spacing w:before="280" w:after="280" w:line="360" w:lineRule="auto"/>
        <w:jc w:val="both"/>
      </w:pPr>
      <w:r w:rsidRPr="00AF1F91">
        <w:t>Una commissione di docenti, nominati dal Dirigente Scolastico e scelti tra coloro che hanno maturato esperienza relativamente alla gestione del disagio economico, presieduta dallo stesso DS, dovrà:</w:t>
      </w:r>
    </w:p>
    <w:p w14:paraId="6A56FD8A" w14:textId="6F1EAD66" w:rsidR="00361056" w:rsidRDefault="005E4130" w:rsidP="00D102C6">
      <w:pPr>
        <w:widowControl/>
        <w:numPr>
          <w:ilvl w:val="0"/>
          <w:numId w:val="2"/>
        </w:numPr>
        <w:ind w:left="714" w:hanging="357"/>
        <w:jc w:val="both"/>
      </w:pPr>
      <w:r>
        <w:rPr>
          <w:color w:val="000000"/>
        </w:rPr>
        <w:t xml:space="preserve">prendere in carico le </w:t>
      </w:r>
      <w:r w:rsidR="00D102C6">
        <w:rPr>
          <w:color w:val="000000"/>
        </w:rPr>
        <w:t>richieste</w:t>
      </w:r>
      <w:r w:rsidR="006E2DA0">
        <w:rPr>
          <w:color w:val="000000"/>
        </w:rPr>
        <w:t>;</w:t>
      </w:r>
    </w:p>
    <w:p w14:paraId="2A329178" w14:textId="0DCE4E35" w:rsidR="00D102C6" w:rsidRPr="00D102C6" w:rsidRDefault="006E2DA0" w:rsidP="00D102C6">
      <w:pPr>
        <w:widowControl/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D102C6">
        <w:rPr>
          <w:color w:val="000000"/>
        </w:rPr>
        <w:t xml:space="preserve">verificare </w:t>
      </w:r>
      <w:r w:rsidR="009E75E7" w:rsidRPr="00D102C6">
        <w:rPr>
          <w:color w:val="000000"/>
        </w:rPr>
        <w:t xml:space="preserve">l’accettabilità delle </w:t>
      </w:r>
      <w:r w:rsidR="00D102C6">
        <w:rPr>
          <w:color w:val="000000"/>
        </w:rPr>
        <w:t>richieste</w:t>
      </w:r>
      <w:r w:rsidR="009E75E7" w:rsidRPr="00D102C6">
        <w:rPr>
          <w:color w:val="000000"/>
        </w:rPr>
        <w:t xml:space="preserve"> con riferimento ai criteri indicati all’Art.1</w:t>
      </w:r>
      <w:r w:rsidRPr="00D102C6">
        <w:rPr>
          <w:color w:val="000000"/>
        </w:rPr>
        <w:t>;</w:t>
      </w:r>
    </w:p>
    <w:p w14:paraId="74F432EF" w14:textId="5ADD1DF8" w:rsidR="00361056" w:rsidRDefault="005E4130" w:rsidP="00D102C6">
      <w:pPr>
        <w:widowControl/>
        <w:numPr>
          <w:ilvl w:val="0"/>
          <w:numId w:val="2"/>
        </w:numPr>
        <w:ind w:left="714" w:hanging="357"/>
        <w:jc w:val="both"/>
        <w:rPr>
          <w:color w:val="000000"/>
        </w:rPr>
      </w:pPr>
      <w:r w:rsidRPr="00D102C6">
        <w:rPr>
          <w:color w:val="000000"/>
        </w:rPr>
        <w:t xml:space="preserve">qualora il numero di </w:t>
      </w:r>
      <w:r w:rsidR="00586DE0">
        <w:rPr>
          <w:color w:val="000000"/>
        </w:rPr>
        <w:t xml:space="preserve">aventi diritto </w:t>
      </w:r>
      <w:r w:rsidRPr="00D102C6">
        <w:rPr>
          <w:color w:val="000000"/>
        </w:rPr>
        <w:t>superasse le disponibilità del bando, stilare una graduatoria in base a</w:t>
      </w:r>
      <w:r w:rsidR="00D102C6">
        <w:rPr>
          <w:color w:val="000000"/>
        </w:rPr>
        <w:t>l</w:t>
      </w:r>
      <w:r w:rsidRPr="00D102C6">
        <w:rPr>
          <w:color w:val="000000"/>
        </w:rPr>
        <w:t xml:space="preserve"> valor</w:t>
      </w:r>
      <w:r w:rsidR="00D102C6">
        <w:rPr>
          <w:color w:val="000000"/>
        </w:rPr>
        <w:t>e</w:t>
      </w:r>
      <w:r w:rsidRPr="00D102C6">
        <w:rPr>
          <w:color w:val="000000"/>
        </w:rPr>
        <w:t xml:space="preserve"> ISEE</w:t>
      </w:r>
      <w:r w:rsidR="00586DE0">
        <w:rPr>
          <w:color w:val="000000"/>
        </w:rPr>
        <w:t>.</w:t>
      </w:r>
    </w:p>
    <w:p w14:paraId="6FD398C5" w14:textId="4C599B2D" w:rsidR="00586DE0" w:rsidRPr="00D102C6" w:rsidRDefault="00586DE0" w:rsidP="00D102C6">
      <w:pPr>
        <w:widowControl/>
        <w:numPr>
          <w:ilvl w:val="0"/>
          <w:numId w:val="2"/>
        </w:numPr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>Al fine di andare incontro alle esigenze di un eventuale maggior numero di aventi diritto, la Commissione si riserva di ridurre i massimali individuali.</w:t>
      </w:r>
    </w:p>
    <w:p w14:paraId="2E2457F7" w14:textId="7AB708E4" w:rsidR="00361056" w:rsidRDefault="005E4130">
      <w:pPr>
        <w:widowControl/>
        <w:spacing w:before="280" w:after="280"/>
        <w:jc w:val="both"/>
        <w:rPr>
          <w:color w:val="000000"/>
        </w:rPr>
      </w:pPr>
      <w:r>
        <w:rPr>
          <w:color w:val="000000"/>
        </w:rPr>
        <w:t xml:space="preserve">Il presente regolamento verrà reso pubblico attraverso il sito internet </w:t>
      </w:r>
      <w:hyperlink r:id="rId7">
        <w:r>
          <w:rPr>
            <w:color w:val="0563C1"/>
            <w:u w:val="single"/>
          </w:rPr>
          <w:t>www.sarrocchi.edu.it</w:t>
        </w:r>
      </w:hyperlink>
      <w:r>
        <w:rPr>
          <w:color w:val="000000"/>
        </w:rPr>
        <w:t xml:space="preserve"> </w:t>
      </w:r>
      <w:r w:rsidR="00586DE0">
        <w:rPr>
          <w:color w:val="000000"/>
        </w:rPr>
        <w:t>o tramite affissione presso la segreteria didattica dell’Istituto “T. Sarrocchi”</w:t>
      </w:r>
      <w:r>
        <w:rPr>
          <w:color w:val="000000"/>
        </w:rPr>
        <w:t>.</w:t>
      </w:r>
    </w:p>
    <w:p w14:paraId="434F5D12" w14:textId="77777777" w:rsidR="00361056" w:rsidRDefault="00361056">
      <w:pPr>
        <w:jc w:val="both"/>
      </w:pPr>
    </w:p>
    <w:sectPr w:rsidR="003610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8" w:right="1134" w:bottom="568" w:left="992" w:header="851" w:footer="425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A1F1" w14:textId="77777777" w:rsidR="002B7CC3" w:rsidRDefault="002B7CC3">
      <w:r>
        <w:separator/>
      </w:r>
    </w:p>
  </w:endnote>
  <w:endnote w:type="continuationSeparator" w:id="0">
    <w:p w14:paraId="66171950" w14:textId="77777777" w:rsidR="002B7CC3" w:rsidRDefault="002B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mbria"/>
    <w:charset w:val="01"/>
    <w:family w:val="roman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36E8" w14:textId="77777777" w:rsidR="00361056" w:rsidRDefault="005E4130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Garamond" w:eastAsia="Garamond" w:hAnsi="Garamond" w:cs="Garamond"/>
        <w:color w:val="000000"/>
        <w:sz w:val="20"/>
        <w:szCs w:val="20"/>
      </w:rPr>
      <w:t>3/3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E749" w14:textId="77777777" w:rsidR="00361056" w:rsidRDefault="00361056">
    <w:pPr>
      <w:tabs>
        <w:tab w:val="center" w:pos="4819"/>
        <w:tab w:val="right" w:pos="9638"/>
      </w:tabs>
      <w:rPr>
        <w:color w:val="000000"/>
      </w:rPr>
    </w:pPr>
  </w:p>
  <w:p w14:paraId="1194BC1B" w14:textId="77777777" w:rsidR="00361056" w:rsidRDefault="005E4130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64E9CF6C" wp14:editId="78C75C11">
          <wp:extent cx="5715000" cy="971550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477F" w14:textId="77777777" w:rsidR="002B7CC3" w:rsidRDefault="002B7CC3">
      <w:r>
        <w:separator/>
      </w:r>
    </w:p>
  </w:footnote>
  <w:footnote w:type="continuationSeparator" w:id="0">
    <w:p w14:paraId="3FC04B38" w14:textId="77777777" w:rsidR="002B7CC3" w:rsidRDefault="002B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C17D" w14:textId="77777777" w:rsidR="00361056" w:rsidRDefault="005E4130">
    <w:pPr>
      <w:jc w:val="center"/>
      <w:rPr>
        <w:rFonts w:ascii="EB Garamond" w:eastAsia="EB Garamond" w:hAnsi="EB Garamond" w:cs="EB Garamond"/>
        <w:b/>
        <w:sz w:val="28"/>
        <w:szCs w:val="28"/>
      </w:rPr>
    </w:pPr>
    <w:r>
      <w:rPr>
        <w:rFonts w:ascii="EB Garamond" w:eastAsia="EB Garamond" w:hAnsi="EB Garamond" w:cs="EB Garamond"/>
        <w:b/>
        <w:sz w:val="28"/>
        <w:szCs w:val="28"/>
      </w:rPr>
      <w:t>I.I.S. “TITO SARROCCHI” - SIENA</w:t>
    </w:r>
  </w:p>
  <w:p w14:paraId="29C1BB8B" w14:textId="77777777" w:rsidR="00361056" w:rsidRDefault="005E4130">
    <w:pPr>
      <w:jc w:val="center"/>
      <w:rPr>
        <w:rFonts w:ascii="EB Garamond" w:eastAsia="EB Garamond" w:hAnsi="EB Garamond" w:cs="EB Garamond"/>
        <w:sz w:val="22"/>
        <w:szCs w:val="22"/>
      </w:rPr>
    </w:pPr>
    <w:r>
      <w:rPr>
        <w:rFonts w:ascii="EB Garamond" w:eastAsia="EB Garamond" w:hAnsi="EB Garamond" w:cs="EB Garamond"/>
        <w:b/>
        <w:sz w:val="22"/>
        <w:szCs w:val="22"/>
      </w:rPr>
      <w:t>Istituto Tecnico Tecnologico e Liceo Scientifico delle Scienze Applicate</w:t>
    </w:r>
  </w:p>
  <w:p w14:paraId="084482F7" w14:textId="77777777" w:rsidR="00361056" w:rsidRDefault="005E4130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F6CD8A5" wp14:editId="1DC01A05">
              <wp:simplePos x="0" y="0"/>
              <wp:positionH relativeFrom="column">
                <wp:posOffset>635</wp:posOffset>
              </wp:positionH>
              <wp:positionV relativeFrom="paragraph">
                <wp:posOffset>37465</wp:posOffset>
              </wp:positionV>
              <wp:extent cx="6132195" cy="254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1520" cy="1800"/>
                      </a:xfrm>
                      <a:prstGeom prst="pi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AutoShape 1" stroked="t" style="position:absolute;margin-left:0.05pt;margin-top:2.95pt;width:482.75pt;height:0.1pt">
              <w10:wrap type="none"/>
              <v:fill o:detectmouseclick="t" on="false"/>
              <v:stroke color="black" weight="9360" joinstyle="miter" endcap="flat"/>
            </v:rect>
          </w:pict>
        </mc:Fallback>
      </mc:AlternateContent>
    </w:r>
  </w:p>
  <w:p w14:paraId="4760EB70" w14:textId="77777777" w:rsidR="00361056" w:rsidRDefault="00361056">
    <w:pP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C68F" w14:textId="77777777" w:rsidR="00361056" w:rsidRDefault="005E4130">
    <w:pPr>
      <w:jc w:val="center"/>
      <w:rPr>
        <w:b/>
        <w:sz w:val="26"/>
        <w:szCs w:val="26"/>
      </w:rPr>
    </w:pPr>
    <w:r>
      <w:rPr>
        <w:noProof/>
      </w:rPr>
      <w:drawing>
        <wp:inline distT="0" distB="0" distL="0" distR="0" wp14:anchorId="6DB2F0C1" wp14:editId="04CB0C23">
          <wp:extent cx="501015" cy="5207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20F46" w14:textId="77777777" w:rsidR="00361056" w:rsidRDefault="005E4130">
    <w:pPr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I.I.S. “TITO SARROCCHI” - SIENA</w:t>
    </w:r>
  </w:p>
  <w:p w14:paraId="6F90DA87" w14:textId="77777777" w:rsidR="00361056" w:rsidRDefault="005E4130">
    <w:pPr>
      <w:jc w:val="center"/>
      <w:rPr>
        <w:rFonts w:ascii="Garamond" w:eastAsia="Garamond" w:hAnsi="Garamond" w:cs="Garamond"/>
        <w:b/>
        <w:sz w:val="22"/>
        <w:szCs w:val="22"/>
      </w:rPr>
    </w:pPr>
    <w:r>
      <w:rPr>
        <w:rFonts w:ascii="Garamond" w:eastAsia="Garamond" w:hAnsi="Garamond" w:cs="Garamond"/>
        <w:b/>
        <w:sz w:val="22"/>
        <w:szCs w:val="22"/>
      </w:rPr>
      <w:t>Istituto Tecnico Tecnologico e Liceo Scientifico delle Scienze Applicate</w:t>
    </w:r>
  </w:p>
  <w:p w14:paraId="231C4EAD" w14:textId="77777777" w:rsidR="00361056" w:rsidRDefault="005E4130">
    <w:pPr>
      <w:jc w:val="center"/>
      <w:rPr>
        <w:rFonts w:ascii="Garamond" w:eastAsia="Garamond" w:hAnsi="Garamond" w:cs="Garamond"/>
        <w:sz w:val="22"/>
        <w:szCs w:val="22"/>
      </w:rPr>
    </w:pPr>
    <w:r>
      <w:rPr>
        <w:rFonts w:ascii="Garamond" w:eastAsia="Garamond" w:hAnsi="Garamond" w:cs="Garamond"/>
        <w:sz w:val="22"/>
        <w:szCs w:val="22"/>
      </w:rPr>
      <w:t>Via Carlo Pisacane, 3 – 53100 Siena</w:t>
    </w:r>
  </w:p>
  <w:p w14:paraId="10031067" w14:textId="77777777" w:rsidR="00361056" w:rsidRDefault="005E4130">
    <w:pPr>
      <w:jc w:val="center"/>
      <w:rPr>
        <w:rFonts w:ascii="Garamond" w:eastAsia="Garamond" w:hAnsi="Garamond" w:cs="Garamond"/>
        <w:sz w:val="22"/>
        <w:szCs w:val="22"/>
      </w:rPr>
    </w:pPr>
    <w:r>
      <w:rPr>
        <w:rFonts w:ascii="Garamond" w:eastAsia="Garamond" w:hAnsi="Garamond" w:cs="Garamond"/>
        <w:sz w:val="22"/>
        <w:szCs w:val="22"/>
      </w:rPr>
      <w:t xml:space="preserve">Tel. 0577 2183.1 – Fax. 0577 2183.40 - Cod. Fisc. </w:t>
    </w:r>
  </w:p>
  <w:p w14:paraId="6098F2D1" w14:textId="77777777" w:rsidR="00361056" w:rsidRDefault="005E4130">
    <w:pPr>
      <w:jc w:val="center"/>
      <w:rPr>
        <w:rFonts w:ascii="Garamond" w:eastAsia="Garamond" w:hAnsi="Garamond" w:cs="Garamond"/>
        <w:sz w:val="22"/>
        <w:szCs w:val="22"/>
      </w:rPr>
    </w:pPr>
    <w:r>
      <w:rPr>
        <w:rFonts w:ascii="Garamond" w:eastAsia="Garamond" w:hAnsi="Garamond" w:cs="Garamond"/>
        <w:sz w:val="22"/>
        <w:szCs w:val="22"/>
      </w:rPr>
      <w:t>E-mail: sitf020002@istruzione.it – PEC: sitf020002@pec.istruzione.it</w:t>
    </w:r>
  </w:p>
  <w:p w14:paraId="66A82CFE" w14:textId="4E2D86D0" w:rsidR="00361056" w:rsidRDefault="005E4130">
    <w:pPr>
      <w:jc w:val="center"/>
      <w:rPr>
        <w:rFonts w:ascii="Garamond" w:eastAsia="Garamond" w:hAnsi="Garamond" w:cs="Garamond"/>
        <w:b/>
        <w:sz w:val="22"/>
        <w:szCs w:val="22"/>
      </w:rPr>
    </w:pPr>
    <w:r>
      <w:rPr>
        <w:rFonts w:ascii="Garamond" w:eastAsia="Garamond" w:hAnsi="Garamond" w:cs="Garamond"/>
        <w:b/>
      </w:rPr>
      <w:t>www.sarrocchi.</w:t>
    </w:r>
    <w:r w:rsidR="00AF1F91">
      <w:rPr>
        <w:rFonts w:ascii="Garamond" w:eastAsia="Garamond" w:hAnsi="Garamond" w:cs="Garamond"/>
        <w:b/>
      </w:rPr>
      <w:t>edu.</w:t>
    </w:r>
    <w:r>
      <w:rPr>
        <w:rFonts w:ascii="Garamond" w:eastAsia="Garamond" w:hAnsi="Garamond" w:cs="Garamond"/>
        <w:b/>
      </w:rPr>
      <w:t>it</w:t>
    </w:r>
  </w:p>
  <w:p w14:paraId="5CD2E9C8" w14:textId="77777777" w:rsidR="00361056" w:rsidRDefault="005E4130">
    <w:pPr>
      <w:rPr>
        <w:rFonts w:ascii="Garamond" w:eastAsia="Garamond" w:hAnsi="Garamond" w:cs="Garamond"/>
      </w:rPr>
    </w:pPr>
    <w:r>
      <w:rPr>
        <w:rFonts w:ascii="Garamond" w:eastAsia="Garamond" w:hAnsi="Garamond" w:cs="Garamond"/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C9D3D1B" wp14:editId="373E1CF6">
              <wp:simplePos x="0" y="0"/>
              <wp:positionH relativeFrom="column">
                <wp:posOffset>-3175</wp:posOffset>
              </wp:positionH>
              <wp:positionV relativeFrom="paragraph">
                <wp:posOffset>55880</wp:posOffset>
              </wp:positionV>
              <wp:extent cx="6130290" cy="1270"/>
              <wp:effectExtent l="0" t="0" r="0" b="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9720" cy="720"/>
                      </a:xfrm>
                      <a:prstGeom prst="pie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AutoShape 3" stroked="t" style="position:absolute;margin-left:-0.25pt;margin-top:4.4pt;width:482.6pt;height:0pt">
              <w10:wrap type="none"/>
              <v:fill o:detectmouseclick="t" on="false"/>
              <v:stroke color="black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3D5C"/>
    <w:multiLevelType w:val="multilevel"/>
    <w:tmpl w:val="85A0E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5F30A6"/>
    <w:multiLevelType w:val="multilevel"/>
    <w:tmpl w:val="15B667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673B7EFD"/>
    <w:multiLevelType w:val="multilevel"/>
    <w:tmpl w:val="01A2FCB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7BD03A00"/>
    <w:multiLevelType w:val="multilevel"/>
    <w:tmpl w:val="A486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56"/>
    <w:rsid w:val="002008C1"/>
    <w:rsid w:val="002B7CC3"/>
    <w:rsid w:val="00361056"/>
    <w:rsid w:val="00586DE0"/>
    <w:rsid w:val="005E4130"/>
    <w:rsid w:val="006B26D0"/>
    <w:rsid w:val="006E2DA0"/>
    <w:rsid w:val="009921D6"/>
    <w:rsid w:val="009E75E7"/>
    <w:rsid w:val="00AF1F91"/>
    <w:rsid w:val="00B8397E"/>
    <w:rsid w:val="00D102C6"/>
    <w:rsid w:val="00EB57CB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C5E2E"/>
  <w15:docId w15:val="{ECA6C645-1F9D-4F85-9C91-DA2197E7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446C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446C0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44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446C0"/>
    <w:pPr>
      <w:tabs>
        <w:tab w:val="center" w:pos="4819"/>
        <w:tab w:val="right" w:pos="9638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 Scicchitano</dc:creator>
  <dc:description/>
  <cp:lastModifiedBy>Stefano Pacini</cp:lastModifiedBy>
  <cp:revision>4</cp:revision>
  <dcterms:created xsi:type="dcterms:W3CDTF">2020-09-28T11:16:00Z</dcterms:created>
  <dcterms:modified xsi:type="dcterms:W3CDTF">2020-09-29T09:41:00Z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